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Default="00184306" w:rsidP="00FA4C47">
      <w:pPr>
        <w:pStyle w:val="Titolo1"/>
      </w:pPr>
      <w:r w:rsidRPr="006533B7">
        <w:t>Allegato A - Domanda di partecipazione (nel caso di partecipazione a lotti diversi in più forme occorre presentare tante domande quante sono le diverse forme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lastRenderedPageBreak/>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r w:rsidR="00F11A2B">
        <w:rPr>
          <w:sz w:val="20"/>
          <w:szCs w:val="20"/>
        </w:rPr>
        <w:t xml:space="preserve"> </w:t>
      </w:r>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Pr="00242BE3" w:rsidRDefault="00184306" w:rsidP="00BF1D89">
      <w:pPr>
        <w:pStyle w:val="Paragrafoelenco"/>
        <w:numPr>
          <w:ilvl w:val="0"/>
          <w:numId w:val="5"/>
        </w:numPr>
        <w:ind w:left="284" w:hanging="284"/>
        <w:jc w:val="both"/>
        <w:rPr>
          <w:strike/>
          <w:sz w:val="20"/>
          <w:szCs w:val="20"/>
        </w:rPr>
      </w:pPr>
      <w:r w:rsidRPr="00242BE3">
        <w:rPr>
          <w:strike/>
          <w:sz w:val="20"/>
          <w:szCs w:val="20"/>
        </w:rPr>
        <w:t>riduzione per il possesso di un</w:t>
      </w:r>
      <w:r w:rsidR="007208FF" w:rsidRPr="00242BE3">
        <w:rPr>
          <w:strike/>
          <w:sz w:val="20"/>
          <w:szCs w:val="20"/>
        </w:rPr>
        <w:t>a</w:t>
      </w:r>
      <w:r w:rsidRPr="00242BE3">
        <w:rPr>
          <w:strike/>
          <w:sz w:val="20"/>
          <w:szCs w:val="20"/>
        </w:rPr>
        <w:t xml:space="preserve"> o più delle seguenti certificazioni o marchi (</w:t>
      </w:r>
      <w:r w:rsidRPr="00242BE3">
        <w:rPr>
          <w:i/>
          <w:strike/>
          <w:sz w:val="20"/>
          <w:szCs w:val="20"/>
        </w:rPr>
        <w:t>la stazione appaltante individua la certificazione e il marchio tra quelli previsti dall’allegato II.13 del Codice e indica la percentuale di riduzione della cauzione, con il vincolo che la somma non può superare il 20%</w:t>
      </w:r>
      <w:r w:rsidRPr="00242BE3">
        <w:rPr>
          <w:strike/>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0"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0"/>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1" w:name="_Hlk224311884"/>
      <w:r>
        <w:rPr>
          <w:b/>
          <w:bCs/>
          <w:color w:val="4472C4" w:themeColor="accent5"/>
          <w:sz w:val="20"/>
          <w:szCs w:val="20"/>
        </w:rPr>
        <w:t xml:space="preserve">Dichiarazioni in materia di uso di intelligenza artificiale </w:t>
      </w:r>
    </w:p>
    <w:bookmarkEnd w:id="1"/>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lastRenderedPageBreak/>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2" w:name="_Hlk224312932"/>
      <w:r w:rsidRPr="00B05319">
        <w:rPr>
          <w:sz w:val="20"/>
          <w:szCs w:val="20"/>
        </w:rPr>
        <w:t>ai fini dell’espletamento</w:t>
      </w:r>
      <w:bookmarkEnd w:id="2"/>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3" w:name="_Hlk223966363"/>
      <w:r w:rsidRPr="00B05319">
        <w:rPr>
          <w:sz w:val="20"/>
          <w:szCs w:val="20"/>
        </w:rPr>
        <w:t>▪</w:t>
      </w:r>
      <w:bookmarkEnd w:id="3"/>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della 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lastRenderedPageBreak/>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1B53" w14:textId="77777777" w:rsidR="00787178" w:rsidRDefault="00787178">
      <w:pPr>
        <w:spacing w:after="0" w:line="240" w:lineRule="auto"/>
      </w:pPr>
      <w:r>
        <w:separator/>
      </w:r>
    </w:p>
  </w:endnote>
  <w:endnote w:type="continuationSeparator" w:id="0">
    <w:p w14:paraId="1014DD50" w14:textId="77777777" w:rsidR="00787178" w:rsidRDefault="0078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5256" w14:textId="77777777" w:rsidR="00787178" w:rsidRDefault="00787178">
      <w:pPr>
        <w:rPr>
          <w:sz w:val="12"/>
        </w:rPr>
      </w:pPr>
      <w:r>
        <w:separator/>
      </w:r>
    </w:p>
  </w:footnote>
  <w:footnote w:type="continuationSeparator" w:id="0">
    <w:p w14:paraId="0973A0F0" w14:textId="77777777" w:rsidR="00787178" w:rsidRDefault="00787178">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84306"/>
    <w:rsid w:val="00190A8C"/>
    <w:rsid w:val="001925E0"/>
    <w:rsid w:val="00196D40"/>
    <w:rsid w:val="001B6DD9"/>
    <w:rsid w:val="001C0D35"/>
    <w:rsid w:val="001C4ECC"/>
    <w:rsid w:val="001C5D5C"/>
    <w:rsid w:val="001D196D"/>
    <w:rsid w:val="001D24C1"/>
    <w:rsid w:val="001D5860"/>
    <w:rsid w:val="001E369D"/>
    <w:rsid w:val="001E3FF1"/>
    <w:rsid w:val="001F52D6"/>
    <w:rsid w:val="001F5877"/>
    <w:rsid w:val="00200D77"/>
    <w:rsid w:val="0020489E"/>
    <w:rsid w:val="00206781"/>
    <w:rsid w:val="00214250"/>
    <w:rsid w:val="00215114"/>
    <w:rsid w:val="00220748"/>
    <w:rsid w:val="002220EB"/>
    <w:rsid w:val="00225B05"/>
    <w:rsid w:val="00240CCA"/>
    <w:rsid w:val="00241FCD"/>
    <w:rsid w:val="00242BE3"/>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95F"/>
    <w:rsid w:val="004938F5"/>
    <w:rsid w:val="00494C4C"/>
    <w:rsid w:val="004A0C00"/>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593A"/>
    <w:rsid w:val="00625B83"/>
    <w:rsid w:val="0063020D"/>
    <w:rsid w:val="00633A29"/>
    <w:rsid w:val="006366C3"/>
    <w:rsid w:val="006377D3"/>
    <w:rsid w:val="0064397E"/>
    <w:rsid w:val="006533B7"/>
    <w:rsid w:val="0066102F"/>
    <w:rsid w:val="00671485"/>
    <w:rsid w:val="00680C11"/>
    <w:rsid w:val="00687C93"/>
    <w:rsid w:val="0069121A"/>
    <w:rsid w:val="00693310"/>
    <w:rsid w:val="00695796"/>
    <w:rsid w:val="0069625E"/>
    <w:rsid w:val="0069658B"/>
    <w:rsid w:val="00696DE9"/>
    <w:rsid w:val="006A03D5"/>
    <w:rsid w:val="006B0274"/>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600A1"/>
    <w:rsid w:val="00762F09"/>
    <w:rsid w:val="00766533"/>
    <w:rsid w:val="00770612"/>
    <w:rsid w:val="00770CBC"/>
    <w:rsid w:val="00772CBE"/>
    <w:rsid w:val="00777F4B"/>
    <w:rsid w:val="00787178"/>
    <w:rsid w:val="00787B9C"/>
    <w:rsid w:val="00787CF9"/>
    <w:rsid w:val="007926FD"/>
    <w:rsid w:val="007A3987"/>
    <w:rsid w:val="007B18E3"/>
    <w:rsid w:val="007B75FD"/>
    <w:rsid w:val="007C05CE"/>
    <w:rsid w:val="007C35FF"/>
    <w:rsid w:val="007D03FC"/>
    <w:rsid w:val="007D2B3B"/>
    <w:rsid w:val="007D41BE"/>
    <w:rsid w:val="007D55AF"/>
    <w:rsid w:val="007E2DB7"/>
    <w:rsid w:val="007E380C"/>
    <w:rsid w:val="007E4AC4"/>
    <w:rsid w:val="007E5AB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2EB4"/>
    <w:rsid w:val="00907E41"/>
    <w:rsid w:val="00921426"/>
    <w:rsid w:val="0092330D"/>
    <w:rsid w:val="009276B2"/>
    <w:rsid w:val="00942E88"/>
    <w:rsid w:val="00952560"/>
    <w:rsid w:val="009535B2"/>
    <w:rsid w:val="009547ED"/>
    <w:rsid w:val="00957AA0"/>
    <w:rsid w:val="00957C2C"/>
    <w:rsid w:val="009638AB"/>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02C2"/>
    <w:rsid w:val="00F7358D"/>
    <w:rsid w:val="00F75A6B"/>
    <w:rsid w:val="00F77256"/>
    <w:rsid w:val="00F779B7"/>
    <w:rsid w:val="00F8535A"/>
    <w:rsid w:val="00F94693"/>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4626</Words>
  <Characters>26373</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Bosini</cp:lastModifiedBy>
  <cp:revision>13</cp:revision>
  <cp:lastPrinted>2023-12-13T08:59:00Z</cp:lastPrinted>
  <dcterms:created xsi:type="dcterms:W3CDTF">2026-03-20T09:26:00Z</dcterms:created>
  <dcterms:modified xsi:type="dcterms:W3CDTF">2026-05-21T10:46:00Z</dcterms:modified>
  <dc:language>it-IT</dc:language>
</cp:coreProperties>
</file>